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F827" w14:textId="224C66C5" w:rsidR="00D834FF" w:rsidRPr="003F5303" w:rsidRDefault="00C9045D" w:rsidP="003F5303">
      <w:pPr>
        <w:pBdr>
          <w:top w:val="single" w:sz="8" w:space="6" w:color="000000"/>
          <w:left w:val="single" w:sz="8" w:space="6" w:color="000000"/>
          <w:bottom w:val="single" w:sz="8" w:space="6" w:color="000000"/>
          <w:right w:val="single" w:sz="8" w:space="6" w:color="000000"/>
        </w:pBdr>
        <w:spacing w:after="240"/>
      </w:pPr>
      <w:r w:rsidRPr="003F5303">
        <w:rPr>
          <w:color w:val="000000"/>
          <w:sz w:val="22"/>
          <w:szCs w:val="22"/>
        </w:rPr>
        <w:t xml:space="preserve">TRAINING SAMPLE — This document contains intentional accessibility errors for practice. </w:t>
      </w:r>
      <w:r w:rsidR="003F5303" w:rsidRPr="003F5303">
        <w:rPr>
          <w:color w:val="000000"/>
          <w:sz w:val="22"/>
          <w:szCs w:val="22"/>
        </w:rPr>
        <w:br/>
      </w:r>
      <w:r w:rsidRPr="003F5303">
        <w:rPr>
          <w:b/>
          <w:bCs/>
          <w:color w:val="000000"/>
          <w:sz w:val="22"/>
          <w:szCs w:val="22"/>
        </w:rPr>
        <w:t>It is not a real or model document</w:t>
      </w:r>
      <w:r w:rsidRPr="003F5303">
        <w:rPr>
          <w:color w:val="000000"/>
          <w:sz w:val="22"/>
          <w:szCs w:val="22"/>
        </w:rPr>
        <w:t>.</w:t>
      </w:r>
    </w:p>
    <w:p w14:paraId="1C1EA020" w14:textId="1970779F" w:rsidR="00D834FF" w:rsidRPr="00D43686" w:rsidRDefault="00C9045D" w:rsidP="003F5303">
      <w:pPr>
        <w:rPr>
          <w:b/>
          <w:bCs/>
          <w:color w:val="4C94D8" w:themeColor="text2" w:themeTint="80"/>
          <w:sz w:val="36"/>
          <w:szCs w:val="36"/>
        </w:rPr>
      </w:pPr>
      <w:r w:rsidRPr="00D43686">
        <w:rPr>
          <w:b/>
          <w:bCs/>
          <w:color w:val="4C94D8" w:themeColor="text2" w:themeTint="80"/>
          <w:sz w:val="36"/>
          <w:szCs w:val="36"/>
        </w:rPr>
        <w:t>2026 Open Enrollment: Your Benefits, Your Choice</w:t>
      </w:r>
    </w:p>
    <w:p w14:paraId="1FBFCE1B" w14:textId="0AA9DFD6" w:rsidR="003F5303" w:rsidRDefault="00D43686">
      <w:pPr>
        <w:spacing w:before="100" w:after="200"/>
        <w:jc w:val="center"/>
      </w:pPr>
      <w:r w:rsidRPr="003F5303">
        <w:rPr>
          <w:noProof/>
        </w:rPr>
        <w:drawing>
          <wp:inline distT="0" distB="0" distL="0" distR="0" wp14:anchorId="15F424E3" wp14:editId="724553AE">
            <wp:extent cx="6248400" cy="860425"/>
            <wp:effectExtent l="0" t="0" r="0" b="0"/>
            <wp:docPr id="1017545414" name="Picture 1" descr="enrollment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45414" name="Picture 1" descr="enrollment banner">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6248400" cy="860425"/>
                    </a:xfrm>
                    <a:prstGeom prst="rect">
                      <a:avLst/>
                    </a:prstGeom>
                  </pic:spPr>
                </pic:pic>
              </a:graphicData>
            </a:graphic>
          </wp:inline>
        </w:drawing>
      </w:r>
    </w:p>
    <w:p w14:paraId="51B709A6" w14:textId="77777777" w:rsidR="00D43686" w:rsidRDefault="00D43686">
      <w:pPr>
        <w:spacing w:after="200"/>
      </w:pPr>
    </w:p>
    <w:p w14:paraId="549B9C4B" w14:textId="1686B489" w:rsidR="00D834FF" w:rsidRDefault="00C9045D">
      <w:pPr>
        <w:spacing w:after="200"/>
      </w:pPr>
      <w:r>
        <w:t>It’s time to review your benefits for the coming year. During open enrollment, you can make changes to your health, dental, vision, and life insurance coverage. If you’re satisfied with your current plan, no action is needed—your existing elections will roll over automatically.</w:t>
      </w:r>
    </w:p>
    <w:p w14:paraId="70C7C10F" w14:textId="77777777" w:rsidR="00D834FF" w:rsidRDefault="00C9045D">
      <w:pPr>
        <w:spacing w:after="200"/>
      </w:pPr>
      <w:r>
        <w:t>All eligible state employees, including full-time and part-time employees working 20 or more hours per week, may participate. Retirees should contact the Retiree Benefits Office for separate enrollment instructions.</w:t>
      </w:r>
    </w:p>
    <w:p w14:paraId="3A465828" w14:textId="77777777" w:rsidR="00D834FF" w:rsidRPr="00D43686" w:rsidRDefault="00C9045D" w:rsidP="00D43686">
      <w:pPr>
        <w:rPr>
          <w:b/>
          <w:bCs/>
          <w:color w:val="0F4761" w:themeColor="accent1" w:themeShade="BF"/>
          <w:sz w:val="36"/>
          <w:szCs w:val="36"/>
        </w:rPr>
      </w:pPr>
      <w:r w:rsidRPr="00D43686">
        <w:rPr>
          <w:b/>
          <w:bCs/>
          <w:color w:val="0F4761" w:themeColor="accent1" w:themeShade="BF"/>
          <w:sz w:val="36"/>
          <w:szCs w:val="36"/>
        </w:rPr>
        <w:t>What’s New for 2026</w:t>
      </w:r>
    </w:p>
    <w:p w14:paraId="7A2EAE58" w14:textId="77777777" w:rsidR="00D43686" w:rsidRPr="00D43686" w:rsidRDefault="00D43686" w:rsidP="00D43686">
      <w:pPr>
        <w:rPr>
          <w:b/>
          <w:bCs/>
          <w:color w:val="153D63" w:themeColor="text2" w:themeTint="E6"/>
          <w:sz w:val="36"/>
          <w:szCs w:val="36"/>
        </w:rPr>
      </w:pPr>
    </w:p>
    <w:p w14:paraId="37B0CC2D" w14:textId="77777777" w:rsidR="00D834FF" w:rsidRDefault="00C9045D">
      <w:pPr>
        <w:spacing w:after="200"/>
      </w:pPr>
      <w:r>
        <w:t>Several changes are taking effect this year that may impact your coverage decisions. Review these updates carefully before making your elections.</w:t>
      </w:r>
    </w:p>
    <w:p w14:paraId="1495A56E" w14:textId="48C89727" w:rsidR="00D834FF" w:rsidRDefault="00C9045D">
      <w:pPr>
        <w:spacing w:after="80"/>
        <w:ind w:left="360"/>
      </w:pPr>
      <w:r>
        <w:t xml:space="preserve">– </w:t>
      </w:r>
      <w:r w:rsidR="00D43686">
        <w:t xml:space="preserve"> </w:t>
      </w:r>
      <w:r>
        <w:t>Standard PPO premiums increase by 3.2% to reflect rising healthcare costs</w:t>
      </w:r>
    </w:p>
    <w:p w14:paraId="4BF82096" w14:textId="525B9386" w:rsidR="00D834FF" w:rsidRDefault="00C9045D">
      <w:pPr>
        <w:spacing w:after="80"/>
        <w:ind w:left="360"/>
      </w:pPr>
      <w:r>
        <w:t xml:space="preserve">– </w:t>
      </w:r>
      <w:r w:rsidR="00D43686">
        <w:t xml:space="preserve"> </w:t>
      </w:r>
      <w:r>
        <w:t>New telehealth benefit: $0 copay for virtual visits on all plans</w:t>
      </w:r>
    </w:p>
    <w:p w14:paraId="0906FA1B" w14:textId="67B5CE47" w:rsidR="00D834FF" w:rsidRDefault="00C9045D">
      <w:pPr>
        <w:spacing w:after="80"/>
        <w:ind w:left="360"/>
      </w:pPr>
      <w:r>
        <w:t xml:space="preserve">– </w:t>
      </w:r>
      <w:r w:rsidR="00D43686">
        <w:t xml:space="preserve"> High-Deductible</w:t>
      </w:r>
      <w:r>
        <w:t xml:space="preserve"> plan now includes a $500 employer HSA contribution</w:t>
      </w:r>
    </w:p>
    <w:p w14:paraId="6BB58897" w14:textId="44B76C6F" w:rsidR="00D834FF" w:rsidRDefault="00C9045D">
      <w:pPr>
        <w:spacing w:after="200"/>
        <w:ind w:left="360"/>
      </w:pPr>
      <w:r>
        <w:t xml:space="preserve">– </w:t>
      </w:r>
      <w:r w:rsidR="00D43686">
        <w:t xml:space="preserve"> </w:t>
      </w:r>
      <w:r>
        <w:t>Dependent coverage extended to age 26 for all plan types</w:t>
      </w:r>
    </w:p>
    <w:p w14:paraId="2E45FE32" w14:textId="77777777" w:rsidR="00D834FF" w:rsidRDefault="00C9045D">
      <w:pPr>
        <w:pStyle w:val="Heading1"/>
      </w:pPr>
      <w:r>
        <w:t>Plan Comparison</w:t>
      </w:r>
    </w:p>
    <w:p w14:paraId="4E358906" w14:textId="77777777" w:rsidR="00D834FF" w:rsidRDefault="00C9045D">
      <w:pPr>
        <w:spacing w:after="100"/>
      </w:pPr>
      <w:r>
        <w:t>The chart below compares monthly premiums, deductibles, and key features across all three plan options. Use this to help decide which plan is right for you and your family.</w:t>
      </w:r>
    </w:p>
    <w:p w14:paraId="76D6823E" w14:textId="77777777" w:rsidR="00D834FF" w:rsidRDefault="00C9045D">
      <w:pPr>
        <w:spacing w:after="100"/>
        <w:jc w:val="center"/>
      </w:pPr>
      <w:r>
        <w:rPr>
          <w:noProof/>
        </w:rPr>
        <w:lastRenderedPageBreak/>
        <w:drawing>
          <wp:anchor distT="0" distB="0" distL="114300" distR="114300" simplePos="0" relativeHeight="251659264" behindDoc="0" locked="0" layoutInCell="1" allowOverlap="1" wp14:anchorId="37AD84B2" wp14:editId="110B0A69">
            <wp:simplePos x="0" y="0"/>
            <wp:positionH relativeFrom="column">
              <wp:posOffset>114300</wp:posOffset>
            </wp:positionH>
            <wp:positionV relativeFrom="page">
              <wp:posOffset>914400</wp:posOffset>
            </wp:positionV>
            <wp:extent cx="6014720" cy="3372485"/>
            <wp:effectExtent l="0" t="0" r="5080" b="0"/>
            <wp:wrapTopAndBottom/>
            <wp:docPr id="155233341" name="Picture 155233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3341" name="Picture 15523334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4720" cy="3372485"/>
                    </a:xfrm>
                    <a:prstGeom prst="rect">
                      <a:avLst/>
                    </a:prstGeom>
                  </pic:spPr>
                </pic:pic>
              </a:graphicData>
            </a:graphic>
          </wp:anchor>
        </w:drawing>
      </w:r>
    </w:p>
    <w:p w14:paraId="1E4F8747" w14:textId="77777777" w:rsidR="00D834FF" w:rsidRDefault="00C9045D">
      <w:pPr>
        <w:spacing w:after="300"/>
        <w:jc w:val="center"/>
      </w:pPr>
      <w:r>
        <w:rPr>
          <w:i/>
          <w:iCs/>
          <w:color w:val="555555"/>
          <w:sz w:val="20"/>
          <w:szCs w:val="20"/>
        </w:rPr>
        <w:t>Figure 1: 2026 Health Plan Comparison</w:t>
      </w:r>
    </w:p>
    <w:p w14:paraId="6C0560EB" w14:textId="77777777" w:rsidR="00D834FF" w:rsidRPr="00D43686" w:rsidRDefault="00C9045D" w:rsidP="00D43686">
      <w:pPr>
        <w:pStyle w:val="Heading4"/>
      </w:pPr>
      <w:r w:rsidRPr="00D43686">
        <w:t>How to Enroll</w:t>
      </w:r>
    </w:p>
    <w:p w14:paraId="25640511" w14:textId="77777777" w:rsidR="00D834FF" w:rsidRDefault="00C9045D">
      <w:pPr>
        <w:spacing w:after="200"/>
      </w:pPr>
      <w:r>
        <w:t xml:space="preserve">Log in to the Employee Benefits Portal at </w:t>
      </w:r>
      <w:r>
        <w:rPr>
          <w:b/>
          <w:bCs/>
        </w:rPr>
        <w:t>benefits.state.gov</w:t>
      </w:r>
      <w:r>
        <w:t xml:space="preserve"> using your state employee credentials. From the dashboard, select “Open Enrollment” and follow the prompts to review and update your elections. You will receive a confirmation email within 24 hours of submitting your changes.</w:t>
      </w:r>
    </w:p>
    <w:p w14:paraId="09233405" w14:textId="77777777" w:rsidR="00D834FF" w:rsidRDefault="00C9045D">
      <w:pPr>
        <w:spacing w:after="200"/>
      </w:pPr>
      <w:r>
        <w:t>If you need assistance, contact the Benefits Help Desk at 1-800-555-BENEFITS (1-800-555-2363), Monday through Friday, 8:00 AM to 5:00 PM. In-person enrollment sessions are also available at your agency’s HR office.</w:t>
      </w:r>
    </w:p>
    <w:p w14:paraId="268F6B4D" w14:textId="77777777" w:rsidR="00D834FF" w:rsidRDefault="00C9045D">
      <w:pPr>
        <w:pStyle w:val="Heading1"/>
      </w:pPr>
      <w:r>
        <w:t>Key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32"/>
        <w:gridCol w:w="5898"/>
      </w:tblGrid>
      <w:tr w:rsidR="00D834FF" w14:paraId="7A952E33" w14:textId="77777777">
        <w:trPr>
          <w:tblHeader/>
        </w:trPr>
        <w:tc>
          <w:tcPr>
            <w:tcW w:w="2000" w:type="pct"/>
            <w:shd w:val="clear" w:color="auto" w:fill="1B4D6E"/>
          </w:tcPr>
          <w:p w14:paraId="67142763" w14:textId="77777777" w:rsidR="00D834FF" w:rsidRDefault="00C9045D">
            <w:r>
              <w:rPr>
                <w:b/>
                <w:bCs/>
                <w:color w:val="FFFFFF"/>
                <w:sz w:val="22"/>
                <w:szCs w:val="22"/>
              </w:rPr>
              <w:t>Date</w:t>
            </w:r>
          </w:p>
        </w:tc>
        <w:tc>
          <w:tcPr>
            <w:tcW w:w="3000" w:type="pct"/>
            <w:shd w:val="clear" w:color="auto" w:fill="1B4D6E"/>
          </w:tcPr>
          <w:p w14:paraId="0B37E692" w14:textId="77777777" w:rsidR="00D834FF" w:rsidRDefault="00C9045D">
            <w:r>
              <w:rPr>
                <w:b/>
                <w:bCs/>
                <w:color w:val="FFFFFF"/>
                <w:sz w:val="22"/>
                <w:szCs w:val="22"/>
              </w:rPr>
              <w:t>Event</w:t>
            </w:r>
          </w:p>
        </w:tc>
      </w:tr>
      <w:tr w:rsidR="00D834FF" w14:paraId="6360A78D" w14:textId="77777777">
        <w:tc>
          <w:tcPr>
            <w:tcW w:w="0" w:type="auto"/>
          </w:tcPr>
          <w:p w14:paraId="481A5F73" w14:textId="77777777" w:rsidR="00D834FF" w:rsidRDefault="00C9045D">
            <w:r>
              <w:rPr>
                <w:sz w:val="22"/>
                <w:szCs w:val="22"/>
              </w:rPr>
              <w:t>October 15, 2026</w:t>
            </w:r>
          </w:p>
        </w:tc>
        <w:tc>
          <w:tcPr>
            <w:tcW w:w="0" w:type="auto"/>
          </w:tcPr>
          <w:p w14:paraId="36CCA19C" w14:textId="77777777" w:rsidR="00D834FF" w:rsidRDefault="00C9045D">
            <w:r>
              <w:rPr>
                <w:sz w:val="22"/>
                <w:szCs w:val="22"/>
              </w:rPr>
              <w:t>Open enrollment begins</w:t>
            </w:r>
          </w:p>
        </w:tc>
      </w:tr>
      <w:tr w:rsidR="00D834FF" w14:paraId="7CE96DF7" w14:textId="77777777">
        <w:tc>
          <w:tcPr>
            <w:tcW w:w="0" w:type="auto"/>
          </w:tcPr>
          <w:p w14:paraId="0E08A9D0" w14:textId="77777777" w:rsidR="00D834FF" w:rsidRDefault="00C9045D">
            <w:r>
              <w:rPr>
                <w:sz w:val="22"/>
                <w:szCs w:val="22"/>
              </w:rPr>
              <w:t>October 22, 2026</w:t>
            </w:r>
          </w:p>
        </w:tc>
        <w:tc>
          <w:tcPr>
            <w:tcW w:w="0" w:type="auto"/>
          </w:tcPr>
          <w:p w14:paraId="7D673F04" w14:textId="77777777" w:rsidR="00D834FF" w:rsidRDefault="00C9045D">
            <w:r>
              <w:rPr>
                <w:sz w:val="22"/>
                <w:szCs w:val="22"/>
              </w:rPr>
              <w:t>Benefits fair (all locations)</w:t>
            </w:r>
          </w:p>
        </w:tc>
      </w:tr>
      <w:tr w:rsidR="00D834FF" w14:paraId="3673CCE7" w14:textId="77777777">
        <w:tc>
          <w:tcPr>
            <w:tcW w:w="0" w:type="auto"/>
          </w:tcPr>
          <w:p w14:paraId="222CA421" w14:textId="77777777" w:rsidR="00D834FF" w:rsidRDefault="00D834FF"/>
        </w:tc>
        <w:tc>
          <w:tcPr>
            <w:tcW w:w="0" w:type="auto"/>
          </w:tcPr>
          <w:p w14:paraId="25A14228" w14:textId="77777777" w:rsidR="00D834FF" w:rsidRDefault="00D834FF"/>
        </w:tc>
      </w:tr>
      <w:tr w:rsidR="00D834FF" w14:paraId="4A54B0A7" w14:textId="77777777">
        <w:tc>
          <w:tcPr>
            <w:tcW w:w="0" w:type="auto"/>
          </w:tcPr>
          <w:p w14:paraId="138881A1" w14:textId="77777777" w:rsidR="00D834FF" w:rsidRDefault="00C9045D">
            <w:r>
              <w:rPr>
                <w:sz w:val="22"/>
                <w:szCs w:val="22"/>
              </w:rPr>
              <w:t>November 1, 2026</w:t>
            </w:r>
          </w:p>
        </w:tc>
        <w:tc>
          <w:tcPr>
            <w:tcW w:w="0" w:type="auto"/>
          </w:tcPr>
          <w:p w14:paraId="76E1AA71" w14:textId="77777777" w:rsidR="00D834FF" w:rsidRDefault="00C9045D">
            <w:r>
              <w:rPr>
                <w:sz w:val="22"/>
                <w:szCs w:val="22"/>
              </w:rPr>
              <w:t>Last day to schedule 1-on-1 benefits counseling</w:t>
            </w:r>
          </w:p>
        </w:tc>
      </w:tr>
      <w:tr w:rsidR="00D834FF" w14:paraId="6CC66223" w14:textId="77777777">
        <w:tc>
          <w:tcPr>
            <w:tcW w:w="0" w:type="auto"/>
          </w:tcPr>
          <w:p w14:paraId="2E09DD65" w14:textId="77777777" w:rsidR="00D834FF" w:rsidRDefault="00C9045D">
            <w:r>
              <w:rPr>
                <w:b/>
                <w:bCs/>
                <w:sz w:val="22"/>
                <w:szCs w:val="22"/>
              </w:rPr>
              <w:t>November 15, 2026</w:t>
            </w:r>
          </w:p>
        </w:tc>
        <w:tc>
          <w:tcPr>
            <w:tcW w:w="0" w:type="auto"/>
          </w:tcPr>
          <w:p w14:paraId="4B7F46A7" w14:textId="77777777" w:rsidR="00D834FF" w:rsidRDefault="00C9045D">
            <w:r>
              <w:rPr>
                <w:b/>
                <w:bCs/>
                <w:sz w:val="22"/>
                <w:szCs w:val="22"/>
              </w:rPr>
              <w:t>Open enrollment closes at 11:59 PM</w:t>
            </w:r>
          </w:p>
        </w:tc>
      </w:tr>
      <w:tr w:rsidR="00D834FF" w14:paraId="10A26944" w14:textId="77777777">
        <w:tc>
          <w:tcPr>
            <w:tcW w:w="0" w:type="auto"/>
          </w:tcPr>
          <w:p w14:paraId="11AFC105" w14:textId="77777777" w:rsidR="00D834FF" w:rsidRDefault="00D834FF"/>
        </w:tc>
        <w:tc>
          <w:tcPr>
            <w:tcW w:w="0" w:type="auto"/>
          </w:tcPr>
          <w:p w14:paraId="1E8C8A4D" w14:textId="77777777" w:rsidR="00D834FF" w:rsidRDefault="00D834FF"/>
        </w:tc>
      </w:tr>
      <w:tr w:rsidR="00D834FF" w14:paraId="43C0FB69" w14:textId="77777777">
        <w:tc>
          <w:tcPr>
            <w:tcW w:w="0" w:type="auto"/>
          </w:tcPr>
          <w:p w14:paraId="41AD1F82" w14:textId="77777777" w:rsidR="00D834FF" w:rsidRDefault="00C9045D">
            <w:r>
              <w:rPr>
                <w:sz w:val="22"/>
                <w:szCs w:val="22"/>
              </w:rPr>
              <w:t>January 1, 2027</w:t>
            </w:r>
          </w:p>
        </w:tc>
        <w:tc>
          <w:tcPr>
            <w:tcW w:w="0" w:type="auto"/>
          </w:tcPr>
          <w:p w14:paraId="299E94D8" w14:textId="77777777" w:rsidR="00D834FF" w:rsidRDefault="00C9045D">
            <w:r>
              <w:rPr>
                <w:sz w:val="22"/>
                <w:szCs w:val="22"/>
              </w:rPr>
              <w:t>New coverage takes effect</w:t>
            </w:r>
          </w:p>
        </w:tc>
      </w:tr>
    </w:tbl>
    <w:p w14:paraId="5D79B5EC" w14:textId="77777777" w:rsidR="00D834FF" w:rsidRDefault="00C9045D">
      <w:pPr>
        <w:pBdr>
          <w:top w:val="single" w:sz="1" w:space="8" w:color="CCCCCC"/>
          <w:bottom w:val="single" w:sz="1" w:space="8" w:color="CCCCCC"/>
        </w:pBdr>
        <w:spacing w:before="300" w:after="200"/>
      </w:pPr>
      <w:r>
        <w:rPr>
          <w:b/>
          <w:bCs/>
          <w:color w:val="A0A0A0"/>
          <w:sz w:val="22"/>
          <w:szCs w:val="22"/>
        </w:rPr>
        <w:t xml:space="preserve">Important: </w:t>
      </w:r>
      <w:r>
        <w:rPr>
          <w:color w:val="A0A0A0"/>
          <w:sz w:val="22"/>
          <w:szCs w:val="22"/>
        </w:rPr>
        <w:t>This notice is provided as a summary of available benefits. It does not constitute a contract or guarantee of coverage. In the event of a conflict between this notice and the official plan documents, the plan documents will govern. Employees should review the full Summary Plan Description (SPD) available on the Benefits Portal before making enrollment decisions. Pre-existing condition limitations may apply to certain plan changes.</w:t>
      </w:r>
    </w:p>
    <w:p w14:paraId="21450337" w14:textId="77777777" w:rsidR="00D834FF" w:rsidRDefault="00C9045D">
      <w:pPr>
        <w:pStyle w:val="Heading1"/>
      </w:pPr>
      <w:r>
        <w:t>Questions?</w:t>
      </w:r>
    </w:p>
    <w:p w14:paraId="6F991EB5" w14:textId="77777777" w:rsidR="00D834FF" w:rsidRDefault="00C9045D">
      <w:pPr>
        <w:spacing w:after="200"/>
      </w:pPr>
      <w:r>
        <w:t>The Benefits Help Desk is available to answer your questions and guide you through the enrollment process. You can also attend a virtual Q&amp;A session every Wednesday at noon during the enrollment period.</w:t>
      </w:r>
    </w:p>
    <w:p w14:paraId="603BFBC4" w14:textId="77777777" w:rsidR="00D834FF" w:rsidRDefault="00C9045D">
      <w:pPr>
        <w:pBdr>
          <w:top w:val="single" w:sz="4" w:space="8" w:color="1B4D6E"/>
        </w:pBdr>
        <w:spacing w:before="300"/>
      </w:pPr>
      <w:r>
        <w:rPr>
          <w:b/>
          <w:bCs/>
          <w:sz w:val="22"/>
          <w:szCs w:val="22"/>
        </w:rPr>
        <w:t>Contact</w:t>
      </w:r>
    </w:p>
    <w:p w14:paraId="78366B56" w14:textId="77777777" w:rsidR="00D834FF" w:rsidRDefault="00C9045D">
      <w:r>
        <w:rPr>
          <w:sz w:val="22"/>
          <w:szCs w:val="22"/>
        </w:rPr>
        <w:t>State Employee Benefits Administration</w:t>
      </w:r>
    </w:p>
    <w:p w14:paraId="5AC0B9FA" w14:textId="77777777" w:rsidR="00D834FF" w:rsidRDefault="00C9045D">
      <w:r>
        <w:rPr>
          <w:sz w:val="22"/>
          <w:szCs w:val="22"/>
        </w:rPr>
        <w:t>benefits@state.gov | 1-800-555-2363</w:t>
      </w:r>
    </w:p>
    <w:sectPr w:rsidR="00D834FF">
      <w:headerReference w:type="default" r:id="rId9"/>
      <w:footerReference w:type="default" r:id="rId10"/>
      <w:pgSz w:w="12240" w:h="15840"/>
      <w:pgMar w:top="1440" w:right="1200" w:bottom="144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81D1" w14:textId="77777777" w:rsidR="00C9045D" w:rsidRDefault="00C9045D">
      <w:r>
        <w:separator/>
      </w:r>
    </w:p>
  </w:endnote>
  <w:endnote w:type="continuationSeparator" w:id="0">
    <w:p w14:paraId="579E6475" w14:textId="77777777" w:rsidR="00C9045D" w:rsidRDefault="00C9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84C2" w14:textId="77777777" w:rsidR="00D834FF" w:rsidRDefault="00C9045D">
    <w:pPr>
      <w:jc w:val="cente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3F5303">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4AA4" w14:textId="77777777" w:rsidR="00C9045D" w:rsidRDefault="00C9045D">
      <w:r>
        <w:separator/>
      </w:r>
    </w:p>
  </w:footnote>
  <w:footnote w:type="continuationSeparator" w:id="0">
    <w:p w14:paraId="0EE55FDB" w14:textId="77777777" w:rsidR="00C9045D" w:rsidRDefault="00C90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EBB7" w14:textId="2AAB327F" w:rsidR="00D834FF" w:rsidRDefault="003F5303">
    <w:pPr>
      <w:pBdr>
        <w:bottom w:val="single" w:sz="4" w:space="4" w:color="1B4D6E"/>
      </w:pBdr>
      <w:tabs>
        <w:tab w:val="right" w:pos="9840"/>
      </w:tabs>
    </w:pPr>
    <w:r>
      <w:rPr>
        <w:color w:val="666666"/>
        <w:sz w:val="18"/>
        <w:szCs w:val="18"/>
      </w:rPr>
      <w:t>Totally Fake State Employee Benefits Administration</w:t>
    </w:r>
    <w:r>
      <w:rPr>
        <w:color w:val="666666"/>
        <w:sz w:val="18"/>
        <w:szCs w:val="18"/>
      </w:rPr>
      <w:tab/>
      <w:t>Open Enrollment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128C1"/>
    <w:multiLevelType w:val="hybridMultilevel"/>
    <w:tmpl w:val="1A0CA3C6"/>
    <w:lvl w:ilvl="0" w:tplc="5A8E607E">
      <w:start w:val="1"/>
      <w:numFmt w:val="bullet"/>
      <w:lvlText w:val="●"/>
      <w:lvlJc w:val="left"/>
      <w:pPr>
        <w:ind w:left="720" w:hanging="360"/>
      </w:pPr>
    </w:lvl>
    <w:lvl w:ilvl="1" w:tplc="387C5C0A">
      <w:start w:val="1"/>
      <w:numFmt w:val="bullet"/>
      <w:lvlText w:val="○"/>
      <w:lvlJc w:val="left"/>
      <w:pPr>
        <w:ind w:left="1440" w:hanging="360"/>
      </w:pPr>
    </w:lvl>
    <w:lvl w:ilvl="2" w:tplc="896ED3AC">
      <w:start w:val="1"/>
      <w:numFmt w:val="bullet"/>
      <w:lvlText w:val="■"/>
      <w:lvlJc w:val="left"/>
      <w:pPr>
        <w:ind w:left="2160" w:hanging="360"/>
      </w:pPr>
    </w:lvl>
    <w:lvl w:ilvl="3" w:tplc="FB5200A6">
      <w:start w:val="1"/>
      <w:numFmt w:val="bullet"/>
      <w:lvlText w:val="●"/>
      <w:lvlJc w:val="left"/>
      <w:pPr>
        <w:ind w:left="2880" w:hanging="360"/>
      </w:pPr>
    </w:lvl>
    <w:lvl w:ilvl="4" w:tplc="30F8FE36">
      <w:start w:val="1"/>
      <w:numFmt w:val="bullet"/>
      <w:lvlText w:val="○"/>
      <w:lvlJc w:val="left"/>
      <w:pPr>
        <w:ind w:left="3600" w:hanging="360"/>
      </w:pPr>
    </w:lvl>
    <w:lvl w:ilvl="5" w:tplc="EF482950">
      <w:start w:val="1"/>
      <w:numFmt w:val="bullet"/>
      <w:lvlText w:val="■"/>
      <w:lvlJc w:val="left"/>
      <w:pPr>
        <w:ind w:left="4320" w:hanging="360"/>
      </w:pPr>
    </w:lvl>
    <w:lvl w:ilvl="6" w:tplc="68308D7A">
      <w:start w:val="1"/>
      <w:numFmt w:val="bullet"/>
      <w:lvlText w:val="●"/>
      <w:lvlJc w:val="left"/>
      <w:pPr>
        <w:ind w:left="5040" w:hanging="360"/>
      </w:pPr>
    </w:lvl>
    <w:lvl w:ilvl="7" w:tplc="FAE6D434">
      <w:start w:val="1"/>
      <w:numFmt w:val="bullet"/>
      <w:lvlText w:val="●"/>
      <w:lvlJc w:val="left"/>
      <w:pPr>
        <w:ind w:left="5760" w:hanging="360"/>
      </w:pPr>
    </w:lvl>
    <w:lvl w:ilvl="8" w:tplc="8E42F75C">
      <w:start w:val="1"/>
      <w:numFmt w:val="bullet"/>
      <w:lvlText w:val="●"/>
      <w:lvlJc w:val="left"/>
      <w:pPr>
        <w:ind w:left="6480" w:hanging="360"/>
      </w:pPr>
    </w:lvl>
  </w:abstractNum>
  <w:num w:numId="1" w16cid:durableId="616252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FF"/>
    <w:rsid w:val="001362F9"/>
    <w:rsid w:val="0020050D"/>
    <w:rsid w:val="003F5303"/>
    <w:rsid w:val="006775FA"/>
    <w:rsid w:val="009003AF"/>
    <w:rsid w:val="00AD21E5"/>
    <w:rsid w:val="00C9045D"/>
    <w:rsid w:val="00CD700F"/>
    <w:rsid w:val="00D43686"/>
    <w:rsid w:val="00D834FF"/>
    <w:rsid w:val="00DA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C665"/>
  <w15:docId w15:val="{18809E8C-5ADD-4F5C-8CAD-82875B66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4D6E"/>
      <w:sz w:val="36"/>
      <w:szCs w:val="36"/>
    </w:rPr>
  </w:style>
  <w:style w:type="paragraph" w:styleId="Heading2">
    <w:name w:val="heading 2"/>
    <w:uiPriority w:val="9"/>
    <w:unhideWhenUsed/>
    <w:qFormat/>
    <w:pPr>
      <w:spacing w:before="280" w:after="160"/>
      <w:outlineLvl w:val="1"/>
    </w:pPr>
    <w:rPr>
      <w:b/>
      <w:bCs/>
      <w:color w:val="2E6B8A"/>
      <w:sz w:val="30"/>
      <w:szCs w:val="30"/>
    </w:rPr>
  </w:style>
  <w:style w:type="paragraph" w:styleId="Heading3">
    <w:name w:val="heading 3"/>
    <w:uiPriority w:val="9"/>
    <w:unhideWhenUsed/>
    <w:qFormat/>
    <w:pPr>
      <w:spacing w:before="240" w:after="120"/>
      <w:outlineLvl w:val="2"/>
    </w:pPr>
    <w:rPr>
      <w:b/>
      <w:bCs/>
      <w:color w:val="3A7CA5"/>
      <w:sz w:val="26"/>
      <w:szCs w:val="26"/>
    </w:rPr>
  </w:style>
  <w:style w:type="paragraph" w:styleId="Heading4">
    <w:name w:val="heading 4"/>
    <w:uiPriority w:val="9"/>
    <w:unhideWhenUsed/>
    <w:qFormat/>
    <w:pPr>
      <w:spacing w:before="200" w:after="100"/>
      <w:outlineLvl w:val="3"/>
    </w:pPr>
    <w:rPr>
      <w:b/>
      <w:bCs/>
      <w:color w:val="4A8C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F5303"/>
    <w:pPr>
      <w:tabs>
        <w:tab w:val="center" w:pos="4680"/>
        <w:tab w:val="right" w:pos="9360"/>
      </w:tabs>
    </w:pPr>
  </w:style>
  <w:style w:type="character" w:customStyle="1" w:styleId="HeaderChar">
    <w:name w:val="Header Char"/>
    <w:basedOn w:val="DefaultParagraphFont"/>
    <w:link w:val="Header"/>
    <w:uiPriority w:val="99"/>
    <w:rsid w:val="003F5303"/>
  </w:style>
  <w:style w:type="paragraph" w:styleId="Footer">
    <w:name w:val="footer"/>
    <w:basedOn w:val="Normal"/>
    <w:link w:val="FooterChar"/>
    <w:uiPriority w:val="99"/>
    <w:unhideWhenUsed/>
    <w:rsid w:val="003F5303"/>
    <w:pPr>
      <w:tabs>
        <w:tab w:val="center" w:pos="4680"/>
        <w:tab w:val="right" w:pos="9360"/>
      </w:tabs>
    </w:pPr>
  </w:style>
  <w:style w:type="character" w:customStyle="1" w:styleId="FooterChar">
    <w:name w:val="Footer Char"/>
    <w:basedOn w:val="DefaultParagraphFont"/>
    <w:link w:val="Footer"/>
    <w:uiPriority w:val="99"/>
    <w:rsid w:val="003F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Plan Comparison</vt:lpstr>
      <vt:lpstr>Key Dates</vt:lpstr>
      <vt:lpstr>Questions?</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Carriann Lane</dc:creator>
  <cp:lastModifiedBy>Carriann Lane</cp:lastModifiedBy>
  <cp:revision>2</cp:revision>
  <dcterms:created xsi:type="dcterms:W3CDTF">2026-06-26T20:31:00Z</dcterms:created>
  <dcterms:modified xsi:type="dcterms:W3CDTF">2026-06-26T20:31:00Z</dcterms:modified>
</cp:coreProperties>
</file>